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09:26:30</w:t>
      </w:r>
    </w:p>
    <w:bookmarkStart w:id="39"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loads in a matter of days. In the period immediately after the release,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w:t>
      </w:r>
      <w:r>
        <w:t xml:space="preserve">that peaked in July. Reported fish kills tracked</w:t>
      </w:r>
      <w:r>
        <w:t xml:space="preserve"> </w:t>
      </w:r>
      <w:r>
        <w:rPr>
          <w:iCs/>
          <w:i/>
        </w:rPr>
        <w:t xml:space="preserve">K. brevis</w:t>
      </w:r>
      <w:r>
        <w:t xml:space="preserve"> </w:t>
      </w:r>
      <w:r>
        <w:t xml:space="preserve">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4"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low/medium/high concentrations based on</w:t>
      </w:r>
      <w:r>
        <w:t xml:space="preserve"> </w:t>
      </w:r>
      <w:hyperlink r:id="rId51">
        <w:r>
          <w:rPr>
            <w:rStyle w:val="Hyperlink"/>
          </w:rPr>
          <w:t xml:space="preserve">FWC breakpoints</w:t>
        </w:r>
      </w:hyperlink>
      <w:r>
        <w:t xml:space="preserve"> </w:t>
      </w:r>
      <w:r>
        <w:t xml:space="preserve">at 10,000/100,000/1,000,000 cells/L).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in comparison to the 2021 bloom event, potentially allowing fishes to migrate from harmful conditions.</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430</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14.4)</w:t>
            </w:r>
          </w:p>
        </w:tc>
        <w:tc>
          <w:tcPr/>
          <w:p>
            <w:pPr>
              <w:pStyle w:val="Compact"/>
              <w:jc w:val="right"/>
            </w:pPr>
            <w:r>
              <w:t xml:space="preserve">246</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4" w:name="references"/>
    <w:p>
      <w:pPr>
        <w:pStyle w:val="Heading1"/>
      </w:pPr>
      <w:r>
        <w:t xml:space="preserve">References</w:t>
      </w:r>
    </w:p>
    <w:bookmarkStart w:id="183"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4">
        <w:r>
          <w:rPr>
            <w:rStyle w:val="Hyperlink"/>
          </w:rPr>
          <w:t xml:space="preserve">https://doi.org/10.1016/j.ecolind.2020.107310</w:t>
        </w:r>
      </w:hyperlink>
    </w:p>
    <w:bookmarkEnd w:id="155"/>
    <w:bookmarkStart w:id="15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6">
        <w:r>
          <w:rPr>
            <w:rStyle w:val="Hyperlink"/>
          </w:rPr>
          <w:t xml:space="preserve">https://doi.org/10.1353/sgo.2017.0026</w:t>
        </w:r>
      </w:hyperlink>
    </w:p>
    <w:bookmarkEnd w:id="157"/>
    <w:bookmarkStart w:id="159"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8">
        <w:r>
          <w:rPr>
            <w:rStyle w:val="Hyperlink"/>
          </w:rPr>
          <w:t xml:space="preserve">https://doi.org/10.1016/j.hal.2021.102118</w:t>
        </w:r>
      </w:hyperlink>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0">
        <w:r>
          <w:rPr>
            <w:rStyle w:val="Hyperlink"/>
          </w:rPr>
          <w:t xml:space="preserve">https://doi.org/10.1016/j.jembe.2005.11.025</w:t>
        </w:r>
      </w:hyperlink>
    </w:p>
    <w:bookmarkEnd w:id="161"/>
    <w:bookmarkStart w:id="163"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2">
        <w:r>
          <w:rPr>
            <w:rStyle w:val="Hyperlink"/>
          </w:rPr>
          <w:t xml:space="preserve">https://doi.org/10.1080/00139307509435842</w:t>
        </w:r>
      </w:hyperlink>
    </w:p>
    <w:bookmarkEnd w:id="163"/>
    <w:bookmarkStart w:id="165"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4">
        <w:r>
          <w:rPr>
            <w:rStyle w:val="Hyperlink"/>
          </w:rPr>
          <w:t xml:space="preserve">https://doi.org/10.1080/00139307209435473</w:t>
        </w:r>
      </w:hyperlink>
    </w:p>
    <w:bookmarkEnd w:id="165"/>
    <w:bookmarkStart w:id="16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6"/>
    <w:bookmarkStart w:id="16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7">
        <w:r>
          <w:rPr>
            <w:rStyle w:val="Hyperlink"/>
          </w:rPr>
          <w:t xml:space="preserve">https://doi.org/10.1016/j.jenvman.2009.03.007</w:t>
        </w:r>
      </w:hyperlink>
    </w:p>
    <w:bookmarkEnd w:id="168"/>
    <w:bookmarkStart w:id="17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9">
        <w:r>
          <w:rPr>
            <w:rStyle w:val="Hyperlink"/>
          </w:rPr>
          <w:t xml:space="preserve">https://doi.org/10.1016/j.marpolbul.2020.111247</w:t>
        </w:r>
      </w:hyperlink>
    </w:p>
    <w:bookmarkEnd w:id="170"/>
    <w:bookmarkStart w:id="17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1">
        <w:r>
          <w:rPr>
            <w:rStyle w:val="Hyperlink"/>
          </w:rPr>
          <w:t xml:space="preserve">https://doi.org/10.1016/j.marpolbul.2018.08.049</w:t>
        </w:r>
      </w:hyperlink>
    </w:p>
    <w:bookmarkEnd w:id="172"/>
    <w:bookmarkStart w:id="17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3">
        <w:r>
          <w:rPr>
            <w:rStyle w:val="Hyperlink"/>
          </w:rPr>
          <w:t xml:space="preserve">https://doi.org/10.4319/lo.1997.42.5_part_2.1105</w:t>
        </w:r>
      </w:hyperlink>
    </w:p>
    <w:bookmarkEnd w:id="174"/>
    <w:bookmarkStart w:id="17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5"/>
    <w:bookmarkStart w:id="177"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6">
        <w:r>
          <w:rPr>
            <w:rStyle w:val="Hyperlink"/>
          </w:rPr>
          <w:t xml:space="preserve">https://doi.org/10.1029/2018JC014887</w:t>
        </w:r>
      </w:hyperlink>
    </w:p>
    <w:bookmarkEnd w:id="177"/>
    <w:bookmarkStart w:id="179"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8">
        <w:r>
          <w:rPr>
            <w:rStyle w:val="Hyperlink"/>
          </w:rPr>
          <w:t xml:space="preserve">https://doi.org/10.1016/j.hal.2014.04.010</w:t>
        </w:r>
      </w:hyperlink>
    </w:p>
    <w:bookmarkEnd w:id="179"/>
    <w:bookmarkStart w:id="18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0">
        <w:r>
          <w:rPr>
            <w:rStyle w:val="Hyperlink"/>
          </w:rPr>
          <w:t xml:space="preserve">https://doi.org/10.21105/joss.01686</w:t>
        </w:r>
      </w:hyperlink>
    </w:p>
    <w:bookmarkEnd w:id="181"/>
    <w:bookmarkStart w:id="182" w:name="ref-Wood17"/>
    <w:p>
      <w:pPr>
        <w:pStyle w:val="Bibliography"/>
      </w:pPr>
      <w:r>
        <w:t xml:space="preserve">Wood, S.N., 2017. Generalized additive models: An introduction with r, 2nd ed. Chapman; Hall, CRC Press, London, United Kingdom.</w:t>
      </w:r>
    </w:p>
    <w:bookmarkEnd w:id="182"/>
    <w:bookmarkEnd w:id="183"/>
    <w:bookmarkEnd w:id="184"/>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2021-12-01T14:26:36Z</dcterms:created>
  <dcterms:modified xsi:type="dcterms:W3CDTF">2021-12-01T14:26:36Z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